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1237B" w14:textId="4382FE4C" w:rsidR="001D7BB5" w:rsidRPr="00A2260E" w:rsidRDefault="00A2260E" w:rsidP="00A2260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</w:pPr>
      <w:r w:rsidRPr="00A2260E"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  <w:t>SVA GOVT DEGREE COLLEGE (M) SRIKALAHASTI</w:t>
      </w:r>
    </w:p>
    <w:p w14:paraId="45202709" w14:textId="19A1E6F7" w:rsidR="00A2260E" w:rsidRPr="00A2260E" w:rsidRDefault="00A2260E" w:rsidP="00A2260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</w:pPr>
      <w:r w:rsidRPr="00A2260E"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  <w:t>DEPARTMENT OF COMMERCE</w:t>
      </w:r>
    </w:p>
    <w:p w14:paraId="48C49489" w14:textId="38832D2E" w:rsidR="00675919" w:rsidRDefault="00A2260E" w:rsidP="0067591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</w:pPr>
      <w:r w:rsidRPr="00A2260E"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  <w:t>RESULTS ANALYSIS FROM 2019-2020 TO 2023-2024</w:t>
      </w:r>
    </w:p>
    <w:p w14:paraId="2FA03462" w14:textId="4F70C4C2" w:rsidR="00A2260E" w:rsidRDefault="00A2260E" w:rsidP="00A2260E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</w:pPr>
    </w:p>
    <w:p w14:paraId="72D63083" w14:textId="1F4B7FEA" w:rsidR="00A2260E" w:rsidRPr="00407DB1" w:rsidRDefault="00407DB1" w:rsidP="00A2260E">
      <w:pPr>
        <w:jc w:val="center"/>
        <w:rPr>
          <w:rFonts w:ascii="Times New Roman" w:hAnsi="Times New Roman" w:cs="Times New Roman"/>
          <w:b/>
          <w:bCs/>
          <w:color w:val="B80879"/>
          <w:sz w:val="36"/>
          <w:szCs w:val="36"/>
          <w:lang w:val="en-US"/>
        </w:rPr>
      </w:pPr>
      <w:proofErr w:type="gramStart"/>
      <w:r w:rsidRPr="00407DB1">
        <w:rPr>
          <w:rFonts w:ascii="Times New Roman" w:hAnsi="Times New Roman" w:cs="Times New Roman"/>
          <w:b/>
          <w:bCs/>
          <w:color w:val="B80879"/>
          <w:sz w:val="36"/>
          <w:szCs w:val="36"/>
          <w:lang w:val="en-US"/>
        </w:rPr>
        <w:t>B.Com</w:t>
      </w:r>
      <w:proofErr w:type="gramEnd"/>
      <w:r w:rsidR="00A2260E" w:rsidRPr="00407DB1">
        <w:rPr>
          <w:rFonts w:ascii="Times New Roman" w:hAnsi="Times New Roman" w:cs="Times New Roman"/>
          <w:b/>
          <w:bCs/>
          <w:color w:val="B80879"/>
          <w:sz w:val="36"/>
          <w:szCs w:val="36"/>
          <w:lang w:val="en-US"/>
        </w:rPr>
        <w:t xml:space="preserve"> </w:t>
      </w:r>
    </w:p>
    <w:tbl>
      <w:tblPr>
        <w:tblStyle w:val="TableGrid"/>
        <w:tblW w:w="10022" w:type="dxa"/>
        <w:jc w:val="center"/>
        <w:tblLook w:val="04A0" w:firstRow="1" w:lastRow="0" w:firstColumn="1" w:lastColumn="0" w:noHBand="0" w:noVBand="1"/>
      </w:tblPr>
      <w:tblGrid>
        <w:gridCol w:w="1452"/>
        <w:gridCol w:w="1376"/>
        <w:gridCol w:w="979"/>
        <w:gridCol w:w="1909"/>
        <w:gridCol w:w="1380"/>
        <w:gridCol w:w="1017"/>
        <w:gridCol w:w="1909"/>
      </w:tblGrid>
      <w:tr w:rsidR="0066299C" w14:paraId="7AC05D25" w14:textId="77777777" w:rsidTr="00407DB1">
        <w:trPr>
          <w:trHeight w:val="641"/>
          <w:jc w:val="center"/>
        </w:trPr>
        <w:tc>
          <w:tcPr>
            <w:tcW w:w="1696" w:type="dxa"/>
            <w:vMerge w:val="restart"/>
          </w:tcPr>
          <w:p w14:paraId="35DCEDF1" w14:textId="77777777" w:rsidR="0066299C" w:rsidRDefault="0066299C" w:rsidP="00A2260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</w:p>
          <w:p w14:paraId="0C0A482C" w14:textId="77777777" w:rsidR="00407DB1" w:rsidRDefault="00407DB1" w:rsidP="00407DB1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</w:p>
          <w:p w14:paraId="4511D80D" w14:textId="095E91C1" w:rsidR="0066299C" w:rsidRDefault="0066299C" w:rsidP="00407DB1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highlight w:val="cyan"/>
                <w:lang w:val="en-US"/>
              </w:rPr>
              <w:t>Year</w:t>
            </w:r>
          </w:p>
        </w:tc>
        <w:tc>
          <w:tcPr>
            <w:tcW w:w="3942" w:type="dxa"/>
            <w:gridSpan w:val="3"/>
          </w:tcPr>
          <w:p w14:paraId="589A4AA1" w14:textId="2E77084E" w:rsidR="0066299C" w:rsidRPr="00407DB1" w:rsidRDefault="009C0FB5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lang w:val="en-US"/>
              </w:rPr>
            </w:pPr>
            <w:proofErr w:type="gramStart"/>
            <w:r w:rsidRPr="00407DB1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lang w:val="en-US"/>
              </w:rPr>
              <w:t>B.Com</w:t>
            </w:r>
            <w:proofErr w:type="gramEnd"/>
            <w:r w:rsidR="0066299C" w:rsidRPr="00407DB1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lang w:val="en-US"/>
              </w:rPr>
              <w:t xml:space="preserve"> CA</w:t>
            </w:r>
          </w:p>
        </w:tc>
        <w:tc>
          <w:tcPr>
            <w:tcW w:w="4384" w:type="dxa"/>
            <w:gridSpan w:val="3"/>
          </w:tcPr>
          <w:p w14:paraId="322DEF83" w14:textId="27865913" w:rsidR="0066299C" w:rsidRPr="00407DB1" w:rsidRDefault="009C0FB5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lang w:val="en-US"/>
              </w:rPr>
            </w:pPr>
            <w:proofErr w:type="gramStart"/>
            <w:r w:rsidRPr="00407DB1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lang w:val="en-US"/>
              </w:rPr>
              <w:t>B.Com</w:t>
            </w:r>
            <w:proofErr w:type="gramEnd"/>
            <w:r w:rsidR="0066299C" w:rsidRPr="00407DB1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lang w:val="en-US"/>
              </w:rPr>
              <w:t xml:space="preserve"> (General)</w:t>
            </w:r>
          </w:p>
        </w:tc>
      </w:tr>
      <w:tr w:rsidR="0066299C" w14:paraId="08F737C1" w14:textId="2FB55A2E" w:rsidTr="00407DB1">
        <w:trPr>
          <w:trHeight w:val="423"/>
          <w:jc w:val="center"/>
        </w:trPr>
        <w:tc>
          <w:tcPr>
            <w:tcW w:w="1696" w:type="dxa"/>
            <w:vMerge/>
          </w:tcPr>
          <w:p w14:paraId="193BCC25" w14:textId="77777777" w:rsidR="0066299C" w:rsidRDefault="0066299C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1003" w:type="dxa"/>
          </w:tcPr>
          <w:p w14:paraId="26137481" w14:textId="56956EB0" w:rsidR="0066299C" w:rsidRPr="00407DB1" w:rsidRDefault="0066299C" w:rsidP="0066299C">
            <w:pPr>
              <w:rPr>
                <w:rFonts w:ascii="Times New Roman" w:hAnsi="Times New Roman" w:cs="Times New Roman"/>
                <w:b/>
                <w:bCs/>
                <w:color w:val="530D41"/>
                <w:sz w:val="36"/>
                <w:szCs w:val="36"/>
                <w:highlight w:val="yellow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530D41"/>
                <w:sz w:val="36"/>
                <w:szCs w:val="36"/>
                <w:highlight w:val="yellow"/>
                <w:lang w:val="en-US"/>
              </w:rPr>
              <w:t>Appear</w:t>
            </w:r>
          </w:p>
        </w:tc>
        <w:tc>
          <w:tcPr>
            <w:tcW w:w="1030" w:type="dxa"/>
          </w:tcPr>
          <w:p w14:paraId="0E9CC6C4" w14:textId="6B1E41BF" w:rsidR="0066299C" w:rsidRPr="00407DB1" w:rsidRDefault="0066299C" w:rsidP="0066299C">
            <w:pPr>
              <w:rPr>
                <w:rFonts w:ascii="Times New Roman" w:hAnsi="Times New Roman" w:cs="Times New Roman"/>
                <w:b/>
                <w:bCs/>
                <w:color w:val="530D41"/>
                <w:sz w:val="36"/>
                <w:szCs w:val="36"/>
                <w:highlight w:val="yellow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530D41"/>
                <w:sz w:val="36"/>
                <w:szCs w:val="36"/>
                <w:highlight w:val="yellow"/>
                <w:lang w:val="en-US"/>
              </w:rPr>
              <w:t>Pass</w:t>
            </w:r>
          </w:p>
        </w:tc>
        <w:tc>
          <w:tcPr>
            <w:tcW w:w="1909" w:type="dxa"/>
          </w:tcPr>
          <w:p w14:paraId="66EDB2BB" w14:textId="347EBC72" w:rsidR="0066299C" w:rsidRPr="00407DB1" w:rsidRDefault="0066299C" w:rsidP="0066299C">
            <w:pPr>
              <w:rPr>
                <w:rFonts w:ascii="Times New Roman" w:hAnsi="Times New Roman" w:cs="Times New Roman"/>
                <w:b/>
                <w:bCs/>
                <w:color w:val="530D41"/>
                <w:sz w:val="36"/>
                <w:szCs w:val="36"/>
                <w:highlight w:val="yellow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530D41"/>
                <w:sz w:val="36"/>
                <w:szCs w:val="36"/>
                <w:highlight w:val="yellow"/>
                <w:lang w:val="en-US"/>
              </w:rPr>
              <w:t>Percentage</w:t>
            </w:r>
          </w:p>
        </w:tc>
        <w:tc>
          <w:tcPr>
            <w:tcW w:w="1383" w:type="dxa"/>
          </w:tcPr>
          <w:p w14:paraId="536947E0" w14:textId="28FD01FD" w:rsidR="0066299C" w:rsidRPr="00407DB1" w:rsidRDefault="0066299C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530D41"/>
                <w:sz w:val="36"/>
                <w:szCs w:val="36"/>
                <w:highlight w:val="yellow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530D41"/>
                <w:sz w:val="36"/>
                <w:szCs w:val="36"/>
                <w:highlight w:val="yellow"/>
                <w:lang w:val="en-US"/>
              </w:rPr>
              <w:t>Appear</w:t>
            </w:r>
          </w:p>
        </w:tc>
        <w:tc>
          <w:tcPr>
            <w:tcW w:w="1092" w:type="dxa"/>
          </w:tcPr>
          <w:p w14:paraId="1FD426C7" w14:textId="0D42057B" w:rsidR="0066299C" w:rsidRPr="00407DB1" w:rsidRDefault="0066299C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530D41"/>
                <w:sz w:val="36"/>
                <w:szCs w:val="36"/>
                <w:highlight w:val="yellow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530D41"/>
                <w:sz w:val="36"/>
                <w:szCs w:val="36"/>
                <w:highlight w:val="yellow"/>
                <w:lang w:val="en-US"/>
              </w:rPr>
              <w:t>Pass</w:t>
            </w:r>
          </w:p>
        </w:tc>
        <w:tc>
          <w:tcPr>
            <w:tcW w:w="1909" w:type="dxa"/>
          </w:tcPr>
          <w:p w14:paraId="5B5160E4" w14:textId="38D8E67F" w:rsidR="0066299C" w:rsidRPr="00407DB1" w:rsidRDefault="0066299C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530D41"/>
                <w:sz w:val="36"/>
                <w:szCs w:val="36"/>
                <w:highlight w:val="yellow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530D41"/>
                <w:sz w:val="36"/>
                <w:szCs w:val="36"/>
                <w:highlight w:val="yellow"/>
                <w:lang w:val="en-US"/>
              </w:rPr>
              <w:t>Percentage</w:t>
            </w:r>
          </w:p>
        </w:tc>
      </w:tr>
      <w:tr w:rsidR="0066299C" w14:paraId="12EAEE8D" w14:textId="082B3F8F" w:rsidTr="0066299C">
        <w:trPr>
          <w:trHeight w:val="683"/>
          <w:jc w:val="center"/>
        </w:trPr>
        <w:tc>
          <w:tcPr>
            <w:tcW w:w="1696" w:type="dxa"/>
          </w:tcPr>
          <w:p w14:paraId="40C259BD" w14:textId="65FFE6CE" w:rsidR="0066299C" w:rsidRPr="00407DB1" w:rsidRDefault="0066299C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B80879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B80879"/>
                <w:sz w:val="36"/>
                <w:szCs w:val="36"/>
                <w:lang w:val="en-US"/>
              </w:rPr>
              <w:t>2019-20</w:t>
            </w:r>
          </w:p>
        </w:tc>
        <w:tc>
          <w:tcPr>
            <w:tcW w:w="1003" w:type="dxa"/>
          </w:tcPr>
          <w:p w14:paraId="7AF986E4" w14:textId="303556DA" w:rsidR="0066299C" w:rsidRPr="00407DB1" w:rsidRDefault="0066299C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48</w:t>
            </w:r>
          </w:p>
        </w:tc>
        <w:tc>
          <w:tcPr>
            <w:tcW w:w="1030" w:type="dxa"/>
          </w:tcPr>
          <w:p w14:paraId="285D2F82" w14:textId="1A5FCC3C" w:rsidR="0066299C" w:rsidRPr="00407DB1" w:rsidRDefault="0066299C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41</w:t>
            </w:r>
          </w:p>
        </w:tc>
        <w:tc>
          <w:tcPr>
            <w:tcW w:w="1909" w:type="dxa"/>
          </w:tcPr>
          <w:p w14:paraId="423DA1C7" w14:textId="2E257A94" w:rsidR="0066299C" w:rsidRPr="00407DB1" w:rsidRDefault="0066299C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85%</w:t>
            </w:r>
          </w:p>
        </w:tc>
        <w:tc>
          <w:tcPr>
            <w:tcW w:w="1383" w:type="dxa"/>
          </w:tcPr>
          <w:p w14:paraId="51B8D3DC" w14:textId="37A56C8F" w:rsidR="0066299C" w:rsidRPr="00407DB1" w:rsidRDefault="0066299C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27</w:t>
            </w:r>
          </w:p>
        </w:tc>
        <w:tc>
          <w:tcPr>
            <w:tcW w:w="1092" w:type="dxa"/>
          </w:tcPr>
          <w:p w14:paraId="27364DEE" w14:textId="6F00F082" w:rsidR="0066299C" w:rsidRPr="00407DB1" w:rsidRDefault="0066299C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25</w:t>
            </w:r>
          </w:p>
        </w:tc>
        <w:tc>
          <w:tcPr>
            <w:tcW w:w="1909" w:type="dxa"/>
          </w:tcPr>
          <w:p w14:paraId="7E321834" w14:textId="4F808743" w:rsidR="0066299C" w:rsidRPr="00407DB1" w:rsidRDefault="00675919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93%</w:t>
            </w:r>
          </w:p>
        </w:tc>
      </w:tr>
      <w:tr w:rsidR="0066299C" w14:paraId="3E10BC60" w14:textId="76EDD308" w:rsidTr="0066299C">
        <w:trPr>
          <w:trHeight w:val="644"/>
          <w:jc w:val="center"/>
        </w:trPr>
        <w:tc>
          <w:tcPr>
            <w:tcW w:w="1696" w:type="dxa"/>
          </w:tcPr>
          <w:p w14:paraId="59CE4A2C" w14:textId="7A97EC7F" w:rsidR="0066299C" w:rsidRPr="00407DB1" w:rsidRDefault="0066299C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B80879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B80879"/>
                <w:sz w:val="36"/>
                <w:szCs w:val="36"/>
                <w:lang w:val="en-US"/>
              </w:rPr>
              <w:t>2020-21</w:t>
            </w:r>
          </w:p>
        </w:tc>
        <w:tc>
          <w:tcPr>
            <w:tcW w:w="1003" w:type="dxa"/>
          </w:tcPr>
          <w:p w14:paraId="5A00679A" w14:textId="37719CC3" w:rsidR="0066299C" w:rsidRPr="00407DB1" w:rsidRDefault="0066299C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42</w:t>
            </w:r>
          </w:p>
        </w:tc>
        <w:tc>
          <w:tcPr>
            <w:tcW w:w="1030" w:type="dxa"/>
          </w:tcPr>
          <w:p w14:paraId="4CBDB6E4" w14:textId="02D45DE6" w:rsidR="0066299C" w:rsidRPr="00407DB1" w:rsidRDefault="0066299C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22</w:t>
            </w:r>
          </w:p>
        </w:tc>
        <w:tc>
          <w:tcPr>
            <w:tcW w:w="1909" w:type="dxa"/>
          </w:tcPr>
          <w:p w14:paraId="48ED77F7" w14:textId="34536884" w:rsidR="0066299C" w:rsidRPr="00407DB1" w:rsidRDefault="0066299C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53%</w:t>
            </w:r>
          </w:p>
        </w:tc>
        <w:tc>
          <w:tcPr>
            <w:tcW w:w="1383" w:type="dxa"/>
          </w:tcPr>
          <w:p w14:paraId="5C93752E" w14:textId="12898D79" w:rsidR="0066299C" w:rsidRPr="00407DB1" w:rsidRDefault="0066299C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20</w:t>
            </w:r>
          </w:p>
        </w:tc>
        <w:tc>
          <w:tcPr>
            <w:tcW w:w="1092" w:type="dxa"/>
          </w:tcPr>
          <w:p w14:paraId="4D7D3A81" w14:textId="56B70D9E" w:rsidR="0066299C" w:rsidRPr="00407DB1" w:rsidRDefault="0066299C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18</w:t>
            </w:r>
          </w:p>
        </w:tc>
        <w:tc>
          <w:tcPr>
            <w:tcW w:w="1909" w:type="dxa"/>
          </w:tcPr>
          <w:p w14:paraId="1CC5C069" w14:textId="430C31FD" w:rsidR="0066299C" w:rsidRPr="00407DB1" w:rsidRDefault="0066299C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90%</w:t>
            </w:r>
          </w:p>
        </w:tc>
      </w:tr>
      <w:tr w:rsidR="0066299C" w14:paraId="1D959EE0" w14:textId="741AA000" w:rsidTr="0066299C">
        <w:trPr>
          <w:trHeight w:val="689"/>
          <w:jc w:val="center"/>
        </w:trPr>
        <w:tc>
          <w:tcPr>
            <w:tcW w:w="1696" w:type="dxa"/>
          </w:tcPr>
          <w:p w14:paraId="231782A6" w14:textId="0696E008" w:rsidR="0066299C" w:rsidRPr="00407DB1" w:rsidRDefault="0066299C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B80879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B80879"/>
                <w:sz w:val="36"/>
                <w:szCs w:val="36"/>
                <w:lang w:val="en-US"/>
              </w:rPr>
              <w:t>2021-22</w:t>
            </w:r>
          </w:p>
        </w:tc>
        <w:tc>
          <w:tcPr>
            <w:tcW w:w="1003" w:type="dxa"/>
          </w:tcPr>
          <w:p w14:paraId="57FBD0A0" w14:textId="185B3728" w:rsidR="0066299C" w:rsidRPr="00407DB1" w:rsidRDefault="00B52676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37</w:t>
            </w:r>
          </w:p>
        </w:tc>
        <w:tc>
          <w:tcPr>
            <w:tcW w:w="1030" w:type="dxa"/>
          </w:tcPr>
          <w:p w14:paraId="2291BE37" w14:textId="56DDCF2A" w:rsidR="0066299C" w:rsidRPr="00407DB1" w:rsidRDefault="00B52676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32</w:t>
            </w:r>
          </w:p>
        </w:tc>
        <w:tc>
          <w:tcPr>
            <w:tcW w:w="1909" w:type="dxa"/>
          </w:tcPr>
          <w:p w14:paraId="1DFE39F7" w14:textId="4ED96EB0" w:rsidR="0066299C" w:rsidRPr="00407DB1" w:rsidRDefault="00B52676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87%</w:t>
            </w:r>
          </w:p>
        </w:tc>
        <w:tc>
          <w:tcPr>
            <w:tcW w:w="1383" w:type="dxa"/>
          </w:tcPr>
          <w:p w14:paraId="727F7E69" w14:textId="036DE4DC" w:rsidR="0066299C" w:rsidRPr="00407DB1" w:rsidRDefault="00B52676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24</w:t>
            </w:r>
          </w:p>
        </w:tc>
        <w:tc>
          <w:tcPr>
            <w:tcW w:w="1092" w:type="dxa"/>
          </w:tcPr>
          <w:p w14:paraId="09293E32" w14:textId="30BCBD36" w:rsidR="0066299C" w:rsidRPr="00407DB1" w:rsidRDefault="00B52676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19</w:t>
            </w:r>
          </w:p>
        </w:tc>
        <w:tc>
          <w:tcPr>
            <w:tcW w:w="1909" w:type="dxa"/>
          </w:tcPr>
          <w:p w14:paraId="3C790514" w14:textId="603C59D3" w:rsidR="0066299C" w:rsidRPr="00407DB1" w:rsidRDefault="00B52676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79%</w:t>
            </w:r>
          </w:p>
        </w:tc>
      </w:tr>
      <w:tr w:rsidR="0066299C" w14:paraId="28F4D6EB" w14:textId="65E3F851" w:rsidTr="0066299C">
        <w:trPr>
          <w:trHeight w:val="717"/>
          <w:jc w:val="center"/>
        </w:trPr>
        <w:tc>
          <w:tcPr>
            <w:tcW w:w="1696" w:type="dxa"/>
          </w:tcPr>
          <w:p w14:paraId="0FFCAF80" w14:textId="4888E9A4" w:rsidR="0066299C" w:rsidRPr="00407DB1" w:rsidRDefault="0066299C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B80879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B80879"/>
                <w:sz w:val="36"/>
                <w:szCs w:val="36"/>
                <w:lang w:val="en-US"/>
              </w:rPr>
              <w:t>2022-23</w:t>
            </w:r>
          </w:p>
        </w:tc>
        <w:tc>
          <w:tcPr>
            <w:tcW w:w="1003" w:type="dxa"/>
          </w:tcPr>
          <w:p w14:paraId="6BE576D9" w14:textId="282F7F9D" w:rsidR="0066299C" w:rsidRPr="00407DB1" w:rsidRDefault="00675919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40</w:t>
            </w:r>
          </w:p>
        </w:tc>
        <w:tc>
          <w:tcPr>
            <w:tcW w:w="1030" w:type="dxa"/>
          </w:tcPr>
          <w:p w14:paraId="5DA97691" w14:textId="3B00ED93" w:rsidR="0066299C" w:rsidRPr="00407DB1" w:rsidRDefault="00675919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35</w:t>
            </w:r>
          </w:p>
        </w:tc>
        <w:tc>
          <w:tcPr>
            <w:tcW w:w="1909" w:type="dxa"/>
          </w:tcPr>
          <w:p w14:paraId="78A281E0" w14:textId="765F0FDA" w:rsidR="0066299C" w:rsidRPr="00407DB1" w:rsidRDefault="00675919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88%</w:t>
            </w:r>
          </w:p>
        </w:tc>
        <w:tc>
          <w:tcPr>
            <w:tcW w:w="1383" w:type="dxa"/>
          </w:tcPr>
          <w:p w14:paraId="5D0D4942" w14:textId="2A177455" w:rsidR="0066299C" w:rsidRPr="00407DB1" w:rsidRDefault="001F3244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21</w:t>
            </w:r>
          </w:p>
        </w:tc>
        <w:tc>
          <w:tcPr>
            <w:tcW w:w="1092" w:type="dxa"/>
          </w:tcPr>
          <w:p w14:paraId="45B0DA61" w14:textId="263C53BF" w:rsidR="0066299C" w:rsidRPr="00407DB1" w:rsidRDefault="001F3244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18</w:t>
            </w:r>
          </w:p>
        </w:tc>
        <w:tc>
          <w:tcPr>
            <w:tcW w:w="1909" w:type="dxa"/>
          </w:tcPr>
          <w:p w14:paraId="75BA17A9" w14:textId="2DC4A5AD" w:rsidR="0066299C" w:rsidRPr="00407DB1" w:rsidRDefault="001F3244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86%</w:t>
            </w:r>
          </w:p>
        </w:tc>
      </w:tr>
      <w:tr w:rsidR="0066299C" w14:paraId="343EE768" w14:textId="0BC05FD9" w:rsidTr="0066299C">
        <w:trPr>
          <w:trHeight w:val="692"/>
          <w:jc w:val="center"/>
        </w:trPr>
        <w:tc>
          <w:tcPr>
            <w:tcW w:w="1696" w:type="dxa"/>
          </w:tcPr>
          <w:p w14:paraId="623875FF" w14:textId="05656F67" w:rsidR="0066299C" w:rsidRPr="00407DB1" w:rsidRDefault="0066299C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B80879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B80879"/>
                <w:sz w:val="36"/>
                <w:szCs w:val="36"/>
                <w:lang w:val="en-US"/>
              </w:rPr>
              <w:t>2023-24</w:t>
            </w:r>
          </w:p>
        </w:tc>
        <w:tc>
          <w:tcPr>
            <w:tcW w:w="1003" w:type="dxa"/>
          </w:tcPr>
          <w:p w14:paraId="2B139599" w14:textId="078B304E" w:rsidR="0066299C" w:rsidRPr="00407DB1" w:rsidRDefault="001F3244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47</w:t>
            </w:r>
          </w:p>
        </w:tc>
        <w:tc>
          <w:tcPr>
            <w:tcW w:w="1030" w:type="dxa"/>
          </w:tcPr>
          <w:p w14:paraId="6B6E69F3" w14:textId="100B28E5" w:rsidR="0066299C" w:rsidRPr="00407DB1" w:rsidRDefault="001F3244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39</w:t>
            </w:r>
          </w:p>
        </w:tc>
        <w:tc>
          <w:tcPr>
            <w:tcW w:w="1909" w:type="dxa"/>
          </w:tcPr>
          <w:p w14:paraId="2C2AC69E" w14:textId="59561A86" w:rsidR="0066299C" w:rsidRPr="00407DB1" w:rsidRDefault="001F3244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83%</w:t>
            </w:r>
          </w:p>
        </w:tc>
        <w:tc>
          <w:tcPr>
            <w:tcW w:w="1383" w:type="dxa"/>
          </w:tcPr>
          <w:p w14:paraId="295EEB58" w14:textId="3FDB2285" w:rsidR="0066299C" w:rsidRPr="00407DB1" w:rsidRDefault="001F3244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22</w:t>
            </w:r>
          </w:p>
        </w:tc>
        <w:tc>
          <w:tcPr>
            <w:tcW w:w="1092" w:type="dxa"/>
          </w:tcPr>
          <w:p w14:paraId="52A98EFF" w14:textId="199A2F53" w:rsidR="0066299C" w:rsidRPr="00407DB1" w:rsidRDefault="001F3244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20</w:t>
            </w:r>
          </w:p>
        </w:tc>
        <w:tc>
          <w:tcPr>
            <w:tcW w:w="1909" w:type="dxa"/>
          </w:tcPr>
          <w:p w14:paraId="6E29C293" w14:textId="0824D675" w:rsidR="0066299C" w:rsidRPr="00407DB1" w:rsidRDefault="001F3244" w:rsidP="0066299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</w:pPr>
            <w:r w:rsidRPr="00407DB1">
              <w:rPr>
                <w:rFonts w:ascii="Times New Roman" w:hAnsi="Times New Roman" w:cs="Times New Roman"/>
                <w:b/>
                <w:bCs/>
                <w:color w:val="002060"/>
                <w:sz w:val="36"/>
                <w:szCs w:val="36"/>
                <w:lang w:val="en-US"/>
              </w:rPr>
              <w:t>91%</w:t>
            </w:r>
          </w:p>
        </w:tc>
      </w:tr>
    </w:tbl>
    <w:p w14:paraId="66992C52" w14:textId="33FE3932" w:rsidR="00A2260E" w:rsidRDefault="00A2260E" w:rsidP="00A2260E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</w:pPr>
    </w:p>
    <w:p w14:paraId="05FE7F75" w14:textId="34EA483F" w:rsidR="00162677" w:rsidRDefault="00502DFA" w:rsidP="00A2260E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1AE2688A" wp14:editId="7AD12CD4">
            <wp:extent cx="4116705" cy="3546475"/>
            <wp:effectExtent l="0" t="0" r="17145" b="15875"/>
            <wp:docPr id="98997957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92D9E36" w14:textId="77777777" w:rsidR="00502DFA" w:rsidRDefault="00502DFA" w:rsidP="00A2260E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</w:pPr>
    </w:p>
    <w:p w14:paraId="399FA1D1" w14:textId="77777777" w:rsidR="00502DFA" w:rsidRDefault="00502DFA" w:rsidP="00A2260E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</w:pPr>
    </w:p>
    <w:p w14:paraId="3D37F67E" w14:textId="3ACD8606" w:rsidR="00502DFA" w:rsidRDefault="00502DFA" w:rsidP="00A2260E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799B76EF" wp14:editId="5C2E9819">
            <wp:extent cx="4682490" cy="4019550"/>
            <wp:effectExtent l="0" t="0" r="3810" b="0"/>
            <wp:docPr id="19725316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5C6183C" w14:textId="77777777" w:rsidR="00502DFA" w:rsidRDefault="00502DFA" w:rsidP="00A2260E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</w:pPr>
    </w:p>
    <w:p w14:paraId="428F573F" w14:textId="77777777" w:rsidR="00502DFA" w:rsidRDefault="00502DFA" w:rsidP="00A2260E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</w:pPr>
    </w:p>
    <w:p w14:paraId="3F34EB8E" w14:textId="77777777" w:rsidR="00502DFA" w:rsidRDefault="00502DFA" w:rsidP="00A2260E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</w:pPr>
    </w:p>
    <w:p w14:paraId="0CDC79A3" w14:textId="77777777" w:rsidR="00502DFA" w:rsidRDefault="00502DFA" w:rsidP="00A2260E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</w:pPr>
    </w:p>
    <w:p w14:paraId="213868F0" w14:textId="77777777" w:rsidR="00502DFA" w:rsidRDefault="00502DFA" w:rsidP="00A2260E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</w:pPr>
    </w:p>
    <w:p w14:paraId="0AF8D4B5" w14:textId="77777777" w:rsidR="00502DFA" w:rsidRDefault="00502DFA" w:rsidP="00A2260E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</w:pPr>
    </w:p>
    <w:p w14:paraId="5DA3EC7B" w14:textId="77777777" w:rsidR="00502DFA" w:rsidRDefault="00502DFA" w:rsidP="00A2260E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</w:pPr>
    </w:p>
    <w:p w14:paraId="62A49E45" w14:textId="77777777" w:rsidR="00162677" w:rsidRDefault="00162677" w:rsidP="00A2260E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</w:pPr>
    </w:p>
    <w:p w14:paraId="448A9275" w14:textId="77777777" w:rsidR="00162677" w:rsidRDefault="00162677" w:rsidP="00A2260E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</w:pPr>
    </w:p>
    <w:p w14:paraId="053A92A7" w14:textId="57582AFB" w:rsidR="00162677" w:rsidRPr="00A2260E" w:rsidRDefault="00162677" w:rsidP="00A2260E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lang w:val="en-US"/>
        </w:rPr>
      </w:pPr>
    </w:p>
    <w:sectPr w:rsidR="00162677" w:rsidRPr="00A2260E" w:rsidSect="00162677">
      <w:pgSz w:w="11906" w:h="16838"/>
      <w:pgMar w:top="709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A3"/>
    <w:rsid w:val="00162677"/>
    <w:rsid w:val="001D7BB5"/>
    <w:rsid w:val="001F3244"/>
    <w:rsid w:val="00407DB1"/>
    <w:rsid w:val="00471EB5"/>
    <w:rsid w:val="004721DC"/>
    <w:rsid w:val="00502DFA"/>
    <w:rsid w:val="00571F44"/>
    <w:rsid w:val="005E1646"/>
    <w:rsid w:val="0066299C"/>
    <w:rsid w:val="00675919"/>
    <w:rsid w:val="006A6E27"/>
    <w:rsid w:val="00713DA1"/>
    <w:rsid w:val="008E437D"/>
    <w:rsid w:val="009C0FB5"/>
    <w:rsid w:val="00A2260E"/>
    <w:rsid w:val="00A6280F"/>
    <w:rsid w:val="00B52676"/>
    <w:rsid w:val="00BC6177"/>
    <w:rsid w:val="00C05AE4"/>
    <w:rsid w:val="00EA71A3"/>
    <w:rsid w:val="00F0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27035"/>
  <w15:chartTrackingRefBased/>
  <w15:docId w15:val="{F6C75043-C54E-4782-B611-8FDE3361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1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1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1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1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1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2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vagdc-14\Desktop\RESULTS%20%20ANALYSIS%20GRAPHS%20-%20NAAC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vagdc-14\Desktop\RESULTS%20%20ANALYSIS%20GRAPHS%20-%20NAAC%20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en-US" sz="1680" b="1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  <a:r>
              <a:rPr lang="en-IN" sz="1680" b="1" u="none" strike="noStrike" cap="none" normalizeH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</a:rPr>
              <a:t>B.COM CA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en-US" sz="1680" b="1" i="0" u="none" strike="noStrike" kern="1200" cap="none" spc="0" normalizeH="0" baseline="0">
              <a:solidFill>
                <a:schemeClr val="tx1"/>
              </a:solidFill>
              <a:uFill>
                <a:solidFill>
                  <a:schemeClr val="tx1"/>
                </a:solidFill>
              </a:u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'[RESULTS  ANALYSIS GRAPHS - NAAC 2025.xlsx]Sheet3'!$C$7</c:f>
              <c:strCache>
                <c:ptCount val="1"/>
                <c:pt idx="0">
                  <c:v>Appear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E75-443D-9F2A-2CB0098A955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400" b="1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'[RESULTS  ANALYSIS GRAPHS - NAAC 2025.xlsx]Sheet3'!$B$8:$B$12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'[RESULTS  ANALYSIS GRAPHS - NAAC 2025.xlsx]Sheet3'!$C$8:$C$12</c:f>
              <c:numCache>
                <c:formatCode>General</c:formatCode>
                <c:ptCount val="5"/>
                <c:pt idx="0">
                  <c:v>48</c:v>
                </c:pt>
                <c:pt idx="1">
                  <c:v>42</c:v>
                </c:pt>
                <c:pt idx="2">
                  <c:v>37</c:v>
                </c:pt>
                <c:pt idx="3">
                  <c:v>40</c:v>
                </c:pt>
                <c:pt idx="4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75-443D-9F2A-2CB0098A9555}"/>
            </c:ext>
          </c:extLst>
        </c:ser>
        <c:ser>
          <c:idx val="1"/>
          <c:order val="1"/>
          <c:tx>
            <c:strRef>
              <c:f>'[RESULTS  ANALYSIS GRAPHS - NAAC 2025.xlsx]Sheet3'!$D$7</c:f>
              <c:strCache>
                <c:ptCount val="1"/>
                <c:pt idx="0">
                  <c:v>Pass</c:v>
                </c:pt>
              </c:strCache>
            </c:strRef>
          </c:tx>
          <c:spPr>
            <a:solidFill>
              <a:srgbClr val="003A1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400" b="1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'[RESULTS  ANALYSIS GRAPHS - NAAC 2025.xlsx]Sheet3'!$B$8:$B$12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'[RESULTS  ANALYSIS GRAPHS - NAAC 2025.xlsx]Sheet3'!$D$8:$D$12</c:f>
              <c:numCache>
                <c:formatCode>General</c:formatCode>
                <c:ptCount val="5"/>
                <c:pt idx="0">
                  <c:v>41</c:v>
                </c:pt>
                <c:pt idx="1">
                  <c:v>22</c:v>
                </c:pt>
                <c:pt idx="2">
                  <c:v>32</c:v>
                </c:pt>
                <c:pt idx="3">
                  <c:v>35</c:v>
                </c:pt>
                <c:pt idx="4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75-443D-9F2A-2CB0098A9555}"/>
            </c:ext>
          </c:extLst>
        </c:ser>
        <c:ser>
          <c:idx val="2"/>
          <c:order val="2"/>
          <c:tx>
            <c:strRef>
              <c:f>'[RESULTS  ANALYSIS GRAPHS - NAAC 2025.xlsx]Sheet3'!$E$7</c:f>
              <c:strCache>
                <c:ptCount val="1"/>
                <c:pt idx="0">
                  <c:v>Percentage</c:v>
                </c:pt>
              </c:strCache>
            </c:strRef>
          </c:tx>
          <c:spPr>
            <a:solidFill>
              <a:srgbClr val="F30BD8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400" b="1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'[RESULTS  ANALYSIS GRAPHS - NAAC 2025.xlsx]Sheet3'!$B$8:$B$12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'[RESULTS  ANALYSIS GRAPHS - NAAC 2025.xlsx]Sheet3'!$E$8:$E$12</c:f>
              <c:numCache>
                <c:formatCode>General</c:formatCode>
                <c:ptCount val="5"/>
                <c:pt idx="0">
                  <c:v>85</c:v>
                </c:pt>
                <c:pt idx="1">
                  <c:v>53</c:v>
                </c:pt>
                <c:pt idx="2">
                  <c:v>87</c:v>
                </c:pt>
                <c:pt idx="3">
                  <c:v>88</c:v>
                </c:pt>
                <c:pt idx="4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E75-443D-9F2A-2CB0098A95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371522072"/>
        <c:axId val="469092335"/>
      </c:barChart>
      <c:catAx>
        <c:axId val="371522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1400" b="1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9092335"/>
        <c:crosses val="autoZero"/>
        <c:auto val="1"/>
        <c:lblAlgn val="ctr"/>
        <c:lblOffset val="100"/>
        <c:noMultiLvlLbl val="0"/>
      </c:catAx>
      <c:valAx>
        <c:axId val="469092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1400" b="1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1522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en-US" sz="1400" b="1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en-US" sz="1400" b="1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en-US" sz="1400" b="1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25771604938271597"/>
          <c:y val="0.91807692307692301"/>
          <c:w val="0.48935185185185198"/>
          <c:h val="6.6538461538461505E-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1400" b="1" i="0" u="none" strike="noStrike" kern="1200" cap="none" spc="0" normalizeH="0" baseline="0">
              <a:solidFill>
                <a:schemeClr val="tx1"/>
              </a:solidFill>
              <a:uFill>
                <a:solidFill>
                  <a:schemeClr val="tx1"/>
                </a:solidFill>
              </a:u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f85e6574-61e7-4469-890e-1512288443b8}"/>
      </c:ext>
    </c:extLst>
  </c:chart>
  <c:spPr>
    <a:solidFill>
      <a:srgbClr val="92D05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 sz="1400" b="1" u="none" strike="noStrike" kern="1200" cap="none" spc="0" normalizeH="0">
          <a:solidFill>
            <a:schemeClr val="tx1"/>
          </a:solidFill>
          <a:uFill>
            <a:solidFill>
              <a:schemeClr val="tx1"/>
            </a:solidFill>
          </a:u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en-US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rgbClr val="FF0000"/>
                </a:solidFill>
              </a:rPr>
              <a:t>B.COM (General )</a:t>
            </a:r>
          </a:p>
        </c:rich>
      </c:tx>
      <c:layout>
        <c:manualLayout>
          <c:xMode val="edge"/>
          <c:yMode val="edge"/>
          <c:x val="0.361973684210526"/>
          <c:y val="2.7777777777777801E-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en-US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'[RESULTS  ANALYSIS GRAPHS - NAAC 2025.xlsx]Sheet3'!$G$7</c:f>
              <c:strCache>
                <c:ptCount val="1"/>
                <c:pt idx="0">
                  <c:v>Appear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000" b="0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u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'[RESULTS  ANALYSIS GRAPHS - NAAC 2025.xlsx]Sheet3'!$F$8:$F$12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'[RESULTS  ANALYSIS GRAPHS - NAAC 2025.xlsx]Sheet3'!$G$8:$G$12</c:f>
              <c:numCache>
                <c:formatCode>General</c:formatCode>
                <c:ptCount val="5"/>
                <c:pt idx="0">
                  <c:v>27</c:v>
                </c:pt>
                <c:pt idx="1">
                  <c:v>20</c:v>
                </c:pt>
                <c:pt idx="2">
                  <c:v>24</c:v>
                </c:pt>
                <c:pt idx="3">
                  <c:v>21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4A-4503-B962-9A6FEF3FAB23}"/>
            </c:ext>
          </c:extLst>
        </c:ser>
        <c:ser>
          <c:idx val="1"/>
          <c:order val="1"/>
          <c:tx>
            <c:strRef>
              <c:f>'[RESULTS  ANALYSIS GRAPHS - NAAC 2025.xlsx]Sheet3'!$H$7</c:f>
              <c:strCache>
                <c:ptCount val="1"/>
                <c:pt idx="0">
                  <c:v>Pass</c:v>
                </c:pt>
              </c:strCache>
            </c:strRef>
          </c:tx>
          <c:spPr>
            <a:solidFill>
              <a:srgbClr val="003A1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000" b="1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u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'[RESULTS  ANALYSIS GRAPHS - NAAC 2025.xlsx]Sheet3'!$F$8:$F$12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'[RESULTS  ANALYSIS GRAPHS - NAAC 2025.xlsx]Sheet3'!$H$8:$H$12</c:f>
              <c:numCache>
                <c:formatCode>General</c:formatCode>
                <c:ptCount val="5"/>
                <c:pt idx="0">
                  <c:v>25</c:v>
                </c:pt>
                <c:pt idx="1">
                  <c:v>18</c:v>
                </c:pt>
                <c:pt idx="2">
                  <c:v>19</c:v>
                </c:pt>
                <c:pt idx="3">
                  <c:v>18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4A-4503-B962-9A6FEF3FAB23}"/>
            </c:ext>
          </c:extLst>
        </c:ser>
        <c:ser>
          <c:idx val="2"/>
          <c:order val="2"/>
          <c:tx>
            <c:strRef>
              <c:f>'[RESULTS  ANALYSIS GRAPHS - NAAC 2025.xlsx]Sheet3'!$I$7</c:f>
              <c:strCache>
                <c:ptCount val="1"/>
                <c:pt idx="0">
                  <c:v>Percentage</c:v>
                </c:pt>
              </c:strCache>
            </c:strRef>
          </c:tx>
          <c:spPr>
            <a:solidFill>
              <a:srgbClr val="F30BD8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000" b="1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u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'[RESULTS  ANALYSIS GRAPHS - NAAC 2025.xlsx]Sheet3'!$F$8:$F$12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'[RESULTS  ANALYSIS GRAPHS - NAAC 2025.xlsx]Sheet3'!$I$8:$I$12</c:f>
              <c:numCache>
                <c:formatCode>General</c:formatCode>
                <c:ptCount val="5"/>
                <c:pt idx="0">
                  <c:v>93</c:v>
                </c:pt>
                <c:pt idx="1">
                  <c:v>90</c:v>
                </c:pt>
                <c:pt idx="2">
                  <c:v>79</c:v>
                </c:pt>
                <c:pt idx="3">
                  <c:v>86</c:v>
                </c:pt>
                <c:pt idx="4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4A-4503-B962-9A6FEF3FAB2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743923318"/>
        <c:axId val="66993649"/>
      </c:barChart>
      <c:catAx>
        <c:axId val="74392331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993649"/>
        <c:crosses val="autoZero"/>
        <c:auto val="1"/>
        <c:lblAlgn val="ctr"/>
        <c:lblOffset val="100"/>
        <c:noMultiLvlLbl val="0"/>
      </c:catAx>
      <c:valAx>
        <c:axId val="6699364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392331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en-US"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en-US"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en-US"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69e45c3-0564-401e-ba07-255de3c5c0da}"/>
      </c:ext>
    </c:extLst>
  </c:chart>
  <c:spPr>
    <a:solidFill>
      <a:srgbClr val="92D05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svagdc-14</dc:creator>
  <cp:keywords/>
  <dc:description/>
  <cp:lastModifiedBy>svagdc-14</cp:lastModifiedBy>
  <cp:revision>4</cp:revision>
  <dcterms:created xsi:type="dcterms:W3CDTF">2025-04-23T08:39:00Z</dcterms:created>
  <dcterms:modified xsi:type="dcterms:W3CDTF">2025-04-23T08:50:00Z</dcterms:modified>
</cp:coreProperties>
</file>